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59C9B" w14:textId="77777777" w:rsidR="006D56DD" w:rsidRPr="006D56DD" w:rsidRDefault="006D56DD" w:rsidP="006D56D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56DD">
        <w:rPr>
          <w:rFonts w:ascii="Times New Roman" w:hAnsi="Times New Roman" w:cs="Times New Roman"/>
          <w:sz w:val="28"/>
          <w:szCs w:val="28"/>
        </w:rPr>
        <w:t xml:space="preserve">1. </w:t>
      </w:r>
      <w:r w:rsidRPr="006D56D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D56DD">
        <w:rPr>
          <w:rFonts w:ascii="Times New Roman" w:hAnsi="Times New Roman" w:cs="Times New Roman"/>
          <w:b/>
          <w:bCs/>
          <w:sz w:val="28"/>
          <w:szCs w:val="28"/>
        </w:rPr>
        <w:t xml:space="preserve">азъяснения законодательства на тему: «Минстроем даны разъяснения по некоторым вопросам заключения договора управления многоквартирным домом (Письмо Минстроя России от 21.02.2025 № 4791-ОГ/00 Об управлении многоквартирным домом). </w:t>
      </w:r>
    </w:p>
    <w:p w14:paraId="38647C7E" w14:textId="77777777" w:rsidR="006D56DD" w:rsidRDefault="006D56DD" w:rsidP="006D56D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6DD">
        <w:rPr>
          <w:rFonts w:ascii="Times New Roman" w:hAnsi="Times New Roman" w:cs="Times New Roman"/>
          <w:sz w:val="28"/>
          <w:szCs w:val="28"/>
        </w:rPr>
        <w:t>В письме отмечено, в частности, следующее:</w:t>
      </w:r>
    </w:p>
    <w:p w14:paraId="43A2E5A6" w14:textId="77777777" w:rsidR="006D56DD" w:rsidRDefault="006D56DD" w:rsidP="006D56D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6DD">
        <w:rPr>
          <w:rFonts w:ascii="Times New Roman" w:hAnsi="Times New Roman" w:cs="Times New Roman"/>
          <w:sz w:val="28"/>
          <w:szCs w:val="28"/>
        </w:rPr>
        <w:t>решения общего собрания собственников помещений в МКД обязательны именно для собственников помещений в МКД;</w:t>
      </w:r>
    </w:p>
    <w:p w14:paraId="6D435B40" w14:textId="77777777" w:rsidR="006D56DD" w:rsidRDefault="006D56DD" w:rsidP="006D56D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6DD">
        <w:rPr>
          <w:rFonts w:ascii="Times New Roman" w:hAnsi="Times New Roman" w:cs="Times New Roman"/>
          <w:sz w:val="28"/>
          <w:szCs w:val="28"/>
        </w:rPr>
        <w:t>решение общего собрания собственников помещений в МКД является волеизъявлением только одной стороны договора управления МКД.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6DD">
        <w:rPr>
          <w:rFonts w:ascii="Times New Roman" w:hAnsi="Times New Roman" w:cs="Times New Roman"/>
          <w:sz w:val="28"/>
          <w:szCs w:val="28"/>
        </w:rPr>
        <w:t>Управляющая организация, являющаяся второй стороной договора управления МКД, вправе как согласиться с предложениями об условиях договора управления МКД, так и отказаться;</w:t>
      </w:r>
    </w:p>
    <w:p w14:paraId="601637CD" w14:textId="77777777" w:rsidR="006D56DD" w:rsidRDefault="006D56DD" w:rsidP="006D56D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6DD">
        <w:rPr>
          <w:rFonts w:ascii="Times New Roman" w:hAnsi="Times New Roman" w:cs="Times New Roman"/>
          <w:sz w:val="28"/>
          <w:szCs w:val="28"/>
        </w:rPr>
        <w:t>законом не установлено императивной обязанности управляющей организации исполнять решения общего собрания собственников помещений в МКД об условиях договора управления, в том числе императивной обязанности заключать договор управления МКД на условиях, утвержденных решением общего собрания собственников помещений в МКД;</w:t>
      </w:r>
    </w:p>
    <w:p w14:paraId="5EB6AA3A" w14:textId="77777777" w:rsidR="006D56DD" w:rsidRDefault="006D56DD" w:rsidP="006D56D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6DD">
        <w:rPr>
          <w:rFonts w:ascii="Times New Roman" w:hAnsi="Times New Roman" w:cs="Times New Roman"/>
          <w:sz w:val="28"/>
          <w:szCs w:val="28"/>
        </w:rPr>
        <w:t>в случае согласия управляющей организации на заключение договора управления МКД он заключается на условиях, утвержденных решением общего собрания собственников помещений в МКД. В случае отказа управляющей организации от заключения договора на условиях, предложенных собственниками помещений в МКД, договор управления МКД не может считаться заключенным, поскольку не выполнено требование пункта 1 статьи 432 ГК РФ.</w:t>
      </w:r>
    </w:p>
    <w:p w14:paraId="390BC76D" w14:textId="77777777" w:rsidR="006D56DD" w:rsidRDefault="006D56DD" w:rsidP="006D56D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6DD">
        <w:rPr>
          <w:rFonts w:ascii="Times New Roman" w:hAnsi="Times New Roman" w:cs="Times New Roman"/>
          <w:sz w:val="28"/>
          <w:szCs w:val="28"/>
        </w:rPr>
        <w:t>Кроме того, Минстрой в Письме от 21.02.2025 № 9752-ДН/04 «О заключении, расторжении или изменении договора ресурсоснабжающей организацией с собственниками МКД» изложил позицию по вопросу о заключении, расторжении или изменении договора ресурсоснабжающей организацией с собственниками МКД.</w:t>
      </w:r>
    </w:p>
    <w:p w14:paraId="6B77D284" w14:textId="13EE7A71" w:rsidR="006D56DD" w:rsidRDefault="006D56DD" w:rsidP="006D56D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6DD">
        <w:rPr>
          <w:rFonts w:ascii="Times New Roman" w:hAnsi="Times New Roman" w:cs="Times New Roman"/>
          <w:sz w:val="28"/>
          <w:szCs w:val="28"/>
        </w:rPr>
        <w:t xml:space="preserve">Ведомство отмечает, что прямой договор, предусмотренный частью 1 статьи 157.2 ЖК РФ, может быть расторгнут по соглашению сторон, одной из которых являются собственники помещений в МКД, второй - ресурсоснабжающая организация. При этом расторжение прямого договора возможно при получении согласия всех собственников помещений в данном МКД.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его отсутствии - в тридцатидневный срок. </w:t>
      </w:r>
    </w:p>
    <w:p w14:paraId="1B2D8EB2" w14:textId="77777777" w:rsidR="006D56DD" w:rsidRDefault="006D56DD" w:rsidP="006D56D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6DD">
        <w:rPr>
          <w:rFonts w:ascii="Times New Roman" w:hAnsi="Times New Roman" w:cs="Times New Roman"/>
          <w:sz w:val="28"/>
          <w:szCs w:val="28"/>
        </w:rPr>
        <w:t xml:space="preserve">Также, Минстрой в Письме от 24.02.2025 № 10108-ДН/04 «О регулировании отношений по предоставлению коммунальных услуг собственникам </w:t>
      </w:r>
      <w:proofErr w:type="spellStart"/>
      <w:r w:rsidRPr="006D56D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D56DD">
        <w:rPr>
          <w:rFonts w:ascii="Times New Roman" w:hAnsi="Times New Roman" w:cs="Times New Roman"/>
          <w:sz w:val="28"/>
          <w:szCs w:val="28"/>
        </w:rPr>
        <w:t xml:space="preserve">-мест в многоквартирном доме» рассмотрел вопрос о </w:t>
      </w:r>
      <w:r w:rsidRPr="006D56DD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регулировании отношений по предоставлению коммунальных услуг собственникам </w:t>
      </w:r>
      <w:proofErr w:type="spellStart"/>
      <w:r w:rsidRPr="006D56D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D56DD">
        <w:rPr>
          <w:rFonts w:ascii="Times New Roman" w:hAnsi="Times New Roman" w:cs="Times New Roman"/>
          <w:sz w:val="28"/>
          <w:szCs w:val="28"/>
        </w:rPr>
        <w:t xml:space="preserve">-мест в многоквартирном доме. </w:t>
      </w:r>
    </w:p>
    <w:p w14:paraId="33CD1FCA" w14:textId="5F495422" w:rsidR="006D56DD" w:rsidRDefault="006D56DD" w:rsidP="006D56D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6DD">
        <w:rPr>
          <w:rFonts w:ascii="Times New Roman" w:hAnsi="Times New Roman" w:cs="Times New Roman"/>
          <w:sz w:val="28"/>
          <w:szCs w:val="28"/>
        </w:rPr>
        <w:t xml:space="preserve">В частности, отмечается, что отношения по предоставлению коммунальных услуг собственникам </w:t>
      </w:r>
      <w:proofErr w:type="spellStart"/>
      <w:r w:rsidRPr="006D56D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D56DD">
        <w:rPr>
          <w:rFonts w:ascii="Times New Roman" w:hAnsi="Times New Roman" w:cs="Times New Roman"/>
          <w:sz w:val="28"/>
          <w:szCs w:val="28"/>
        </w:rPr>
        <w:t xml:space="preserve">-мест в многоквартирном доме и отношения по поставке коммунальных ресурсов в нежилые помещения в многоквартирном доме регулируются различными нормами. При этом не имеет значения, является ли нежилое помещение гаражом, предназначено ли нежилое помещение для размещения транспортных средств или используется в иных целях. </w:t>
      </w:r>
    </w:p>
    <w:p w14:paraId="060DF936" w14:textId="77777777" w:rsidR="006D56DD" w:rsidRDefault="006D56DD" w:rsidP="006D56D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6DD">
        <w:rPr>
          <w:rFonts w:ascii="Times New Roman" w:hAnsi="Times New Roman" w:cs="Times New Roman"/>
          <w:sz w:val="28"/>
          <w:szCs w:val="28"/>
        </w:rPr>
        <w:t>2</w:t>
      </w:r>
      <w:r w:rsidRPr="006D56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D56D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D56DD">
        <w:rPr>
          <w:rFonts w:ascii="Times New Roman" w:hAnsi="Times New Roman" w:cs="Times New Roman"/>
          <w:b/>
          <w:bCs/>
          <w:sz w:val="28"/>
          <w:szCs w:val="28"/>
        </w:rPr>
        <w:t>азъяснения законодательства на тему: «В административном исковом заявлении лица, отбывающего наказание в виде лишения свободы, могут быть указаны реквизиты учреждения уголовно-исполнительной системы вместо реквизитов банковского счета, в целях получения компенсации за нарушение права на судопроизводство в разумный срок</w:t>
      </w:r>
      <w:r w:rsidRPr="006D56DD">
        <w:rPr>
          <w:rFonts w:ascii="Times New Roman" w:hAnsi="Times New Roman" w:cs="Times New Roman"/>
          <w:sz w:val="28"/>
          <w:szCs w:val="28"/>
        </w:rPr>
        <w:t xml:space="preserve"> (Постановление Конституционного Суда РФ от 25.02.2025 № 9-П «По делу о проверке конституционности положений пункта 2 статьи 242.1 Бюджетного кодекса Российской Федерации и пункта 10 части 2 статьи 252 Кодекса административного судопроизводства Российской Федерации в связи с жалобой гражданина О.В. Левчука»). </w:t>
      </w:r>
    </w:p>
    <w:p w14:paraId="2A2BD2C7" w14:textId="6EA9E047" w:rsidR="006D56DD" w:rsidRDefault="006D56DD" w:rsidP="006D56D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6DD">
        <w:rPr>
          <w:rFonts w:ascii="Times New Roman" w:hAnsi="Times New Roman" w:cs="Times New Roman"/>
          <w:sz w:val="28"/>
          <w:szCs w:val="28"/>
        </w:rPr>
        <w:t xml:space="preserve">Абзац первый пункта 2 статьи 242.1 Бюджетного кодекса РФ и пункт 10 части 2 статьи 252 КАС РФ признаны не противоречащими Конституции РФ, поскольку по своему конституционно-правовому смыслу в системе действующего правового регулирования они допускают указание в административном исковом заявлении лица, отбывающего наказание в виде лишения свободы, о присуждении компенсации за нарушение права на судопроизводство в разумный срок или права на исполнение судебного акта в разумный срок реквизитов для перечисления средств на его лицевой счет в учреждении уголовно-исполнительной системы. </w:t>
      </w:r>
    </w:p>
    <w:p w14:paraId="692AF5AA" w14:textId="09129D5E" w:rsidR="00BA7868" w:rsidRPr="006D56DD" w:rsidRDefault="006D56DD" w:rsidP="006D56D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6DD">
        <w:rPr>
          <w:rFonts w:ascii="Times New Roman" w:hAnsi="Times New Roman" w:cs="Times New Roman"/>
          <w:sz w:val="28"/>
          <w:szCs w:val="28"/>
        </w:rPr>
        <w:t>Оставление же административного искового заявления о присуждении компенсации за нарушение права на судопроизводство в разумный срок и исполнение судебного акта в разумный срок без движения и последующее возвращение его судом ввиду указания в нем реквизитов для зачисления средств на лицевой счет лица, содержащегося в учреждении уголовно-исполнительной системы РФ, вместо реквизитов банковского счета означало бы сугубо формальный подход к отправлению правосудия и судебной защите прав граждан</w:t>
      </w:r>
    </w:p>
    <w:sectPr w:rsidR="00BA7868" w:rsidRPr="006D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A2"/>
    <w:rsid w:val="001F40A2"/>
    <w:rsid w:val="006D56DD"/>
    <w:rsid w:val="00B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E4DE"/>
  <w15:chartTrackingRefBased/>
  <w15:docId w15:val="{6A484EDB-BEC5-44A5-BDA1-15838750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mgd</cp:lastModifiedBy>
  <cp:revision>2</cp:revision>
  <dcterms:created xsi:type="dcterms:W3CDTF">2025-03-09T05:48:00Z</dcterms:created>
  <dcterms:modified xsi:type="dcterms:W3CDTF">2025-03-09T05:48:00Z</dcterms:modified>
</cp:coreProperties>
</file>